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480"/>
      </w:pPr>
    </w:p>
    <w:p>
      <w:pPr>
        <w:spacing w:after="0" w:line="480"/>
      </w:pPr>
    </w:p>
    <w:p>
      <w:pPr>
        <w:spacing w:after="0" w:line="480"/>
      </w:pPr>
    </w:p>
    <w:p>
      <w:pPr>
        <w:spacing w:after="0" w:line="480"/>
        <w:jc w:val="center"/>
      </w:pPr>
      <w:r>
        <w:rPr>
          <w:rFonts w:ascii="Times New Roman" w:cs="Times New Roman" w:eastAsia="Times New Roman" w:hAnsi="Times New Roman"/>
          <w:b/>
          <w:bCs/>
          <w:sz w:val="24"/>
          <w:szCs w:val="24"/>
        </w:rPr>
        <w:t xml:space="preserve">Application of Leadership Concepts</w:t>
      </w:r>
    </w:p>
    <w:p>
      <w:pPr>
        <w:spacing w:after="0" w:line="480"/>
      </w:pPr>
    </w:p>
    <w:p>
      <w:pPr>
        <w:spacing w:after="0" w:line="480"/>
        <w:jc w:val="center"/>
      </w:pPr>
      <w:r>
        <w:rPr>
          <w:rFonts w:ascii="Times New Roman" w:cs="Times New Roman" w:eastAsia="Times New Roman" w:hAnsi="Times New Roman"/>
          <w:b w:val="false"/>
          <w:bCs w:val="false"/>
          <w:sz w:val="24"/>
          <w:szCs w:val="24"/>
        </w:rPr>
        <w:t xml:space="preserve">Jason Jacobs</w:t>
      </w:r>
    </w:p>
    <w:p>
      <w:pPr>
        <w:spacing w:after="0" w:line="480"/>
        <w:jc w:val="center"/>
      </w:pPr>
      <w:r>
        <w:rPr>
          <w:rFonts w:ascii="Times New Roman" w:cs="Times New Roman" w:eastAsia="Times New Roman" w:hAnsi="Times New Roman"/>
          <w:b w:val="false"/>
          <w:bCs w:val="false"/>
          <w:sz w:val="24"/>
          <w:szCs w:val="24"/>
        </w:rPr>
        <w:t xml:space="preserve">University of Massachusetts Global</w:t>
      </w:r>
    </w:p>
    <w:p>
      <w:pPr>
        <w:spacing w:after="0" w:line="480"/>
        <w:jc w:val="center"/>
      </w:pPr>
      <w:r>
        <w:rPr>
          <w:rFonts w:ascii="Times New Roman" w:cs="Times New Roman" w:eastAsia="Times New Roman" w:hAnsi="Times New Roman"/>
          <w:b w:val="false"/>
          <w:bCs w:val="false"/>
          <w:sz w:val="24"/>
          <w:szCs w:val="24"/>
        </w:rPr>
        <w:t xml:space="preserve">OLCU 487: Senior Research Capstone</w:t>
      </w:r>
    </w:p>
    <w:p>
      <w:pPr>
        <w:spacing w:after="0" w:line="480"/>
        <w:jc w:val="center"/>
      </w:pPr>
      <w:r>
        <w:rPr>
          <w:rFonts w:ascii="Times New Roman" w:cs="Times New Roman" w:eastAsia="Times New Roman" w:hAnsi="Times New Roman"/>
          <w:b w:val="false"/>
          <w:bCs w:val="false"/>
          <w:sz w:val="24"/>
          <w:szCs w:val="24"/>
        </w:rPr>
        <w:t xml:space="preserve">Prof. Sabrina Landa</w:t>
      </w:r>
    </w:p>
    <w:p>
      <w:pPr>
        <w:spacing w:after="0" w:line="480"/>
        <w:jc w:val="center"/>
      </w:pPr>
      <w:r>
        <w:rPr>
          <w:rFonts w:ascii="Times New Roman" w:cs="Times New Roman" w:eastAsia="Times New Roman" w:hAnsi="Times New Roman"/>
          <w:b w:val="false"/>
          <w:bCs w:val="false"/>
          <w:sz w:val="24"/>
          <w:szCs w:val="24"/>
        </w:rPr>
        <w:t xml:space="preserve">June 21, 2026</w:t>
      </w:r>
    </w:p>
    <w:p>
      <w:pPr>
        <w:sectPr>
          <w:headerReference w:type="default" r:id="rId7"/>
          <w:pgSz w:w="12240" w:h="15840" w:orient="portrait"/>
          <w:pgMar w:top="1440" w:right="1440" w:bottom="1440" w:left="1440" w:header="708" w:footer="708" w:gutter="0"/>
          <w:pgNumType/>
          <w:docGrid w:linePitch="360"/>
        </w:sectPr>
      </w:pPr>
    </w:p>
    <w:p>
      <w:pPr>
        <w:spacing w:after="0" w:line="480"/>
        <w:jc w:val="center"/>
      </w:pPr>
      <w:r>
        <w:rPr>
          <w:rFonts w:ascii="Times New Roman" w:cs="Times New Roman" w:eastAsia="Times New Roman" w:hAnsi="Times New Roman"/>
          <w:b/>
          <w:bCs/>
          <w:sz w:val="24"/>
          <w:szCs w:val="24"/>
        </w:rPr>
        <w:t xml:space="preserve">Application of Leadership Concepts</w:t>
      </w:r>
    </w:p>
    <w:p>
      <w:pPr>
        <w:spacing w:after="0" w:line="480"/>
        <w:ind w:firstLine="720"/>
        <w:jc w:val="left"/>
      </w:pPr>
      <w:r>
        <w:rPr>
          <w:rFonts w:ascii="Times New Roman" w:cs="Times New Roman" w:eastAsia="Times New Roman" w:hAnsi="Times New Roman"/>
          <w:sz w:val="24"/>
          <w:szCs w:val="24"/>
        </w:rPr>
        <w:t xml:space="preserve">Twenty years into this work, I have mostly stopped asking whether someone is a leader and started watching what they do when the room gets hard. Leadership turned out to be less a quality I either have or lack and more a set of habits I practice in public, under pressure, with people watching to see whether my behavior matches my words. The BAOL program gave me language for habits I had been running on instinct for fifteen years, and that language is most of the point of this paper. What follows examines four parts of leadership the program pushed me to take seriously: analytical inquiry, ethics, leadership itself, and diversity and multiculturalism, each grounded in the actual work I have done at companies like Samsung and Sunrun, and now at Infoblox, where I started this spring as Instructional Design and Sales Enablement Operations Manager. After working through those four, I step back to name the insights that changed how I lead and lay out a plan for what I intend to do with them. I am writing this a few weeks before I finish a bachelor's degree I started under very different circumstances, so the reflection is not a formality. It is the part I have been waiting to write.</w:t>
      </w:r>
    </w:p>
    <w:p>
      <w:pPr>
        <w:spacing w:after="0" w:line="480"/>
        <w:jc w:val="center"/>
      </w:pPr>
      <w:r>
        <w:rPr>
          <w:rFonts w:ascii="Times New Roman" w:cs="Times New Roman" w:eastAsia="Times New Roman" w:hAnsi="Times New Roman"/>
          <w:b/>
          <w:bCs/>
          <w:sz w:val="24"/>
          <w:szCs w:val="24"/>
        </w:rPr>
        <w:t xml:space="preserve">Analytical Inquiry</w:t>
      </w:r>
    </w:p>
    <w:p>
      <w:pPr>
        <w:spacing w:after="0" w:line="480"/>
        <w:ind w:firstLine="720"/>
        <w:jc w:val="left"/>
      </w:pPr>
      <w:r>
        <w:rPr>
          <w:rFonts w:ascii="Times New Roman" w:cs="Times New Roman" w:eastAsia="Times New Roman" w:hAnsi="Times New Roman"/>
          <w:sz w:val="24"/>
          <w:szCs w:val="24"/>
        </w:rPr>
        <w:t xml:space="preserve">The most common wrong answer I hear when a program underperforms is "add more content." It sounds like leadership, it feels productive, and it almost always makes the problem worse, because nobody stopped to ask what was actually causing the underperformance in the first place. That question, what is actually happening, and why, and what the evidence says before committing to a course of action, is the core of analytical inquiry. Organizational behavior researchers call the rigorous version of this evidence-based management, the practice of grounding decisions in hard facts and sound analysis instead of habit, imitation, or whoever talks loudest in the meeting (Uhl-Bien et al., 2014). Bennis (2009) came at the same idea from the leader's side, describing effective leaders as perpetual learners who keep trying to see the world accurately and reflect honestly on what they find before they act. The reason this matters is not abstract. A leader's decisions land on budgets, teams, and customers, and a leader who reasons from evidence makes fewer expensive mistakes and earns the credibility that makes people willing to follow. A leader who reasons from assumption solves the wrong problem with total confidence, which is worse than solving nothing at all.</w:t>
      </w:r>
    </w:p>
    <w:p>
      <w:pPr>
        <w:spacing w:after="0" w:line="480"/>
        <w:ind w:firstLine="720"/>
        <w:jc w:val="left"/>
      </w:pPr>
      <w:r>
        <w:rPr>
          <w:rFonts w:ascii="Times New Roman" w:cs="Times New Roman" w:eastAsia="Times New Roman" w:hAnsi="Times New Roman"/>
          <w:sz w:val="24"/>
          <w:szCs w:val="24"/>
        </w:rPr>
        <w:t xml:space="preserve">I lean on three habits to keep myself honest with data. The one I trust most is root cause analysis, separating the symptom from the thing actually causing it before I design a single intervention. A slow ramp time looks like a training gap on the surface. Dig, and the real driver is often a broken process, a missing tool, or a manager who never reinforced the skill once the new hire left the classroom. I run this as a chain (business problem to capability gap to intervention to metric to impact), and if I cannot trace the line from a behavior back to a business number, I do not have a root cause yet. I have a guess.</w:t>
      </w:r>
    </w:p>
    <w:p>
      <w:pPr>
        <w:spacing w:after="0" w:line="480"/>
        <w:ind w:firstLine="720"/>
        <w:jc w:val="left"/>
      </w:pPr>
      <w:r>
        <w:rPr>
          <w:rFonts w:ascii="Times New Roman" w:cs="Times New Roman" w:eastAsia="Times New Roman" w:hAnsi="Times New Roman"/>
          <w:sz w:val="24"/>
          <w:szCs w:val="24"/>
        </w:rPr>
        <w:t xml:space="preserve">Then there is comparison, because a single data point tells me almost nothing. I want a baseline or a parallel cohort, and I want outcomes rather than activity. Completion rates feel productive and prove very little; somebody finished a course. Time-to-proficiency, error rates, and ramp curves measured cohort over cohort tell me whether the work actually changed anything. The habit that takes the most discipline is triangulation, refusing to trust one source and deliberately going to find the evidence that would prove my first explanation wrong. The research is blunt about why this is necessary. Decision makers fall into predictable traps, confirmation bias chief among them, the pull toward information that confirms what we already believe (Uhl-Bien et al., 2014). Triangulation is mostly me arguing with myself on purpose.</w:t>
      </w:r>
    </w:p>
    <w:p>
      <w:pPr>
        <w:spacing w:after="0" w:line="480"/>
        <w:ind w:firstLine="720"/>
        <w:jc w:val="left"/>
      </w:pPr>
      <w:r>
        <w:rPr>
          <w:rFonts w:ascii="Times New Roman" w:cs="Times New Roman" w:eastAsia="Times New Roman" w:hAnsi="Times New Roman"/>
          <w:sz w:val="24"/>
          <w:szCs w:val="24"/>
        </w:rPr>
        <w:t xml:space="preserve">None of these strategies survive contact with a team that is afraid to use them. Edmondson (1999) found that teams only learn and improve when people feel safe enough to take interpersonal risks, the risk of naming a problem, of admitting they do not know, of telling the boss the thing the boss does not want to hear. That finding shapes how I run a room. I ask the uncomfortable questions out loud myself, I thank the person who brings the inconvenient data instead of shooting the messenger, and when something breaks I push the review toward what the system allowed rather than who to blame.</w:t>
      </w:r>
    </w:p>
    <w:p>
      <w:pPr>
        <w:spacing w:after="0" w:line="480"/>
        <w:ind w:firstLine="720"/>
        <w:jc w:val="left"/>
      </w:pPr>
      <w:r>
        <w:rPr>
          <w:rFonts w:ascii="Times New Roman" w:cs="Times New Roman" w:eastAsia="Times New Roman" w:hAnsi="Times New Roman"/>
          <w:sz w:val="24"/>
          <w:szCs w:val="24"/>
        </w:rPr>
        <w:t xml:space="preserve">The clearest example I have is the Sunrun onboarding rebuild. New hires were ramping too slowly, and the reflex in the room was the usual one, add more content. That would have been easy and wrong. Instead I asked what the performance data actually showed, traced the problem to its root, and found a content-heavy program that had drifted away from the real tasks of the job, partly because we kept teaching things simply because we had always taught them. We rebuilt it around the actual work, added manager reinforcement so the skill survived past day one, and measured against time-to-proficiency instead of completion. Proficiency time dropped by 77 percent against real performance data. That number did not come from anyone working harder. It came from asking a better question before committing to an answer, and from a team that felt safe enough to tell me the old program was not working.</w:t>
      </w:r>
    </w:p>
    <w:p>
      <w:pPr>
        <w:spacing w:after="0" w:line="480"/>
        <w:ind w:firstLine="720"/>
        <w:jc w:val="left"/>
      </w:pPr>
      <w:r>
        <w:rPr>
          <w:rFonts w:ascii="Times New Roman" w:cs="Times New Roman" w:eastAsia="Times New Roman" w:hAnsi="Times New Roman"/>
          <w:sz w:val="24"/>
          <w:szCs w:val="24"/>
        </w:rPr>
        <w:t xml:space="preserve">That same instinct is what I am carrying into sales enablement now. A seller's slow ramp invites the same lazy answer the onboarding program did, more training, when the real constraint might be territory, tooling, or a compensation plan nobody on my team controls. Analytical inquiry is what keeps me from solving a pipeline problem with a workshop. The question is always the same one, whether the thing I am able to build is actually the thing that is broken, and the honest answer is sometimes no, which is information worth having before I spend a quarter building the wrong fix.</w:t>
      </w:r>
    </w:p>
    <w:p>
      <w:pPr>
        <w:spacing w:after="0" w:line="480"/>
        <w:jc w:val="center"/>
      </w:pPr>
      <w:r>
        <w:rPr>
          <w:rFonts w:ascii="Times New Roman" w:cs="Times New Roman" w:eastAsia="Times New Roman" w:hAnsi="Times New Roman"/>
          <w:b/>
          <w:bCs/>
          <w:sz w:val="24"/>
          <w:szCs w:val="24"/>
        </w:rPr>
        <w:t xml:space="preserve">Ethics</w:t>
      </w:r>
    </w:p>
    <w:p>
      <w:pPr>
        <w:spacing w:after="0" w:line="480"/>
        <w:ind w:firstLine="720"/>
        <w:jc w:val="left"/>
      </w:pPr>
      <w:r>
        <w:rPr>
          <w:rFonts w:ascii="Times New Roman" w:cs="Times New Roman" w:eastAsia="Times New Roman" w:hAnsi="Times New Roman"/>
          <w:sz w:val="24"/>
          <w:szCs w:val="24"/>
        </w:rPr>
        <w:t xml:space="preserve">Power changes the math on almost every decision a leader makes. When you carry no authority, a bad call costs you; when you carry positional power, a bad call costs the people around you, and they did not get a vote. That asymmetry is why ethics sits near the center of leadership work. Collins and Kanashiro (2022) define ethics as the set of standards that covers right and wrong conduct and guides how people and organizations decide when values and interests pull against each other. Northouse (2021) anchors ethical leadership in a handful of principles (respecting people, serving them, being fair, being honest, building community) and treats it as foundational rather than optional. Brown et al. (2005) added the finding I think about most. They defined ethical leadership as conduct a leader both lives personally and actively holds others to, and they showed that people mostly learn ethics by watching whoever is in charge. That is the uncomfortable part. Your team is not absorbing the values on the poster. They are absorbing what you actually reward, what you tolerate, and what you do when it costs you something.</w:t>
      </w:r>
    </w:p>
    <w:p>
      <w:pPr>
        <w:spacing w:after="0" w:line="480"/>
        <w:ind w:firstLine="720"/>
        <w:jc w:val="left"/>
      </w:pPr>
      <w:r>
        <w:rPr>
          <w:rFonts w:ascii="Times New Roman" w:cs="Times New Roman" w:eastAsia="Times New Roman" w:hAnsi="Times New Roman"/>
          <w:sz w:val="24"/>
          <w:szCs w:val="24"/>
        </w:rPr>
        <w:t xml:space="preserve">The practice that organizes my conduct is servant leadership. Greenleaf (2002) described the servant-leader as someone who is servant first, and he offered a test I find hard to wriggle out of: do the people being served grow as a result, do they become healthier, wiser, more capable, more likely to serve others in turn. Spears (2010) drew out the characteristics underneath that posture, listening, empathy, stewardship, a real commitment to the growth of people. Northouse (2021) files servant leadership under ethical leadership rather than soft management, which matters, because asking a leader to put followers' development ahead of their own interests is not soft at all. It is expensive. The reason it fits my work is simple enough. Enablement exists to build other people's capability, so the only honest scoreboard is whether they actually got better (not whether I looked impressive doing it).</w:t>
      </w:r>
    </w:p>
    <w:p>
      <w:pPr>
        <w:spacing w:after="0" w:line="480"/>
        <w:ind w:firstLine="720"/>
        <w:jc w:val="left"/>
      </w:pPr>
      <w:r>
        <w:rPr>
          <w:rFonts w:ascii="Times New Roman" w:cs="Times New Roman" w:eastAsia="Times New Roman" w:hAnsi="Times New Roman"/>
          <w:sz w:val="24"/>
          <w:szCs w:val="24"/>
        </w:rPr>
        <w:t xml:space="preserve">A specific example, and a small one on purpose, because the small ones are where this gets tested. I led a team of eighteen at Sunrun, trainers, instructional designers, an LMS admin, and at one point a piece of high-visibility work crossed my desk, the kind of project that gets you noticed by people two levels up. The self-serving move was obvious. Keep it, run it myself, collect the visibility. Instead I handed it to a junior designer who was ready for a stretch but had never been given the room, and I stayed close enough to catch her if it went sideways without hovering close enough to take the credit. The short-term cost to me (less exposure, a slower and bumpier path to the deliverable) was the entire point. She came out of it more capable and more confident, and the next hard thing did not need me at all. Brown et al. (2005) would say the rest of the team was watching that decision and learning from it, which I believe is true. The quieter truth is that I was watching it too, checking whether I actually lead the way I claim to when the opportunity cost is mine to pay. The measure of servant leadership is not how indispensable I make myself. It is how dispensable I am willing to become.</w:t>
      </w:r>
    </w:p>
    <w:p>
      <w:pPr>
        <w:spacing w:after="0" w:line="480"/>
        <w:jc w:val="center"/>
      </w:pPr>
      <w:r>
        <w:rPr>
          <w:rFonts w:ascii="Times New Roman" w:cs="Times New Roman" w:eastAsia="Times New Roman" w:hAnsi="Times New Roman"/>
          <w:b/>
          <w:bCs/>
          <w:sz w:val="24"/>
          <w:szCs w:val="24"/>
        </w:rPr>
        <w:t xml:space="preserve">Leadership</w:t>
      </w:r>
    </w:p>
    <w:p>
      <w:pPr>
        <w:spacing w:after="0" w:line="480"/>
        <w:ind w:firstLine="720"/>
        <w:jc w:val="left"/>
      </w:pPr>
      <w:r>
        <w:rPr>
          <w:rFonts w:ascii="Times New Roman" w:cs="Times New Roman" w:eastAsia="Times New Roman" w:hAnsi="Times New Roman"/>
          <w:sz w:val="24"/>
          <w:szCs w:val="24"/>
        </w:rPr>
        <w:t xml:space="preserve">Almost everyone has a definition of leadership and almost no one agrees on it, which tells you something about the concept. After two decades inside corporate learning and organizational development, I have landed on leadership as a process rather than a personality, an ongoing negotiation between a person, the people around them, and the conditions they are all stuck navigating together. Northouse (2021) frames it the same way, as a process in which an individual influences a group toward a shared goal, and that framing is not a technicality. It moves leadership off the list of things you are born with and onto the list of things you can learn, which is the only reason leadership development is worth funding at all. Bennis (2009) said it more plainly, that leaders are made and not born, and I have a personal stake in that being true.</w:t>
      </w:r>
    </w:p>
    <w:p>
      <w:pPr>
        <w:spacing w:after="0" w:line="480"/>
        <w:ind w:firstLine="720"/>
        <w:jc w:val="left"/>
      </w:pPr>
      <w:r>
        <w:rPr>
          <w:rFonts w:ascii="Times New Roman" w:cs="Times New Roman" w:eastAsia="Times New Roman" w:hAnsi="Times New Roman"/>
          <w:sz w:val="24"/>
          <w:szCs w:val="24"/>
        </w:rPr>
        <w:t xml:space="preserve">I did not come up through the easy on-ramps. I grew up moving constantly, bounced through schools, earned a GED instead of a diploma, and spent most of my adult life learning to build credibility without the usual credentials behind me. So, when I say leadership is mostly trust, and trust is mostly consistency over time, that is not a line from a textbook. It is what I watched actually work across training floors, field operations, and a couple of mergers. It also tracks with the research. Kouzes and Posner (2023), studying what people do when they lead at their best, found that credibility is the foundation everything else sits on, and that people will not commit to a vision until they decide they can trust the person carrying it.</w:t>
      </w:r>
    </w:p>
    <w:p>
      <w:pPr>
        <w:spacing w:after="0" w:line="480"/>
        <w:ind w:firstLine="720"/>
        <w:jc w:val="left"/>
      </w:pPr>
      <w:r>
        <w:rPr>
          <w:rFonts w:ascii="Times New Roman" w:cs="Times New Roman" w:eastAsia="Times New Roman" w:hAnsi="Times New Roman"/>
          <w:sz w:val="24"/>
          <w:szCs w:val="24"/>
        </w:rPr>
        <w:t xml:space="preserve">Three behaviors carry most of the weight for me. The one I protect first is trust, and I am living that right now at Infoblox, where I started this spring leading instructional design and sales enablement operations. The temptation in a new role is to plant a flag fast, ship a program, prove you belong. I am deliberately not doing that. The first ninety days are for listening, learning how the sales organization actually works, and earning the right to change things (I call it "earning the right to have an opinion"), because a constructive climate is something a leader builds before it is something a leader spends (Northouse, 2021). Whether the people around me feel safe enough to tell me what is broken will quietly determine everything I am able to do after.</w:t>
      </w:r>
    </w:p>
    <w:p>
      <w:pPr>
        <w:spacing w:after="0" w:line="480"/>
        <w:ind w:firstLine="720"/>
        <w:jc w:val="left"/>
      </w:pPr>
      <w:r>
        <w:rPr>
          <w:rFonts w:ascii="Times New Roman" w:cs="Times New Roman" w:eastAsia="Times New Roman" w:hAnsi="Times New Roman"/>
          <w:sz w:val="24"/>
          <w:szCs w:val="24"/>
        </w:rPr>
        <w:t xml:space="preserve">Vision comes next, and it does its real work in repetition. When Sunrun merged with Vivint Solar, I inherited a training function responsible for roughly 1,300 absorbed employees who were carrying every bit of the anxiety and competing loyalty a merger drags in. The vision I gave my team was not inspirational wallpaper. It was a sentence we could make decisions against, that we were going to integrate these people by building real ramp paths instead of overwriting everything they already knew how to do. Repeated in every design review, that sentence became a filter. Kouzes and Posner (2023) call this inspiring a shared vision, and the part they get right is that the vision has to be shared, which means said again and again until the team owns it without me in the room.</w:t>
      </w:r>
    </w:p>
    <w:p>
      <w:pPr>
        <w:spacing w:after="0" w:line="480"/>
        <w:ind w:firstLine="720"/>
        <w:jc w:val="left"/>
      </w:pPr>
      <w:r>
        <w:rPr>
          <w:rFonts w:ascii="Times New Roman" w:cs="Times New Roman" w:eastAsia="Times New Roman" w:hAnsi="Times New Roman"/>
          <w:sz w:val="24"/>
          <w:szCs w:val="24"/>
        </w:rPr>
        <w:t xml:space="preserve">The behavior that earns enablement leaders a seat at the table, though, is tying the work to business outcomes instead of activity. Bass and Bass (2008) note that effective leaders adapt to what the situation and the people in front of them actually require, and in my world the situation almost always requires proof. Across these programs I can point to roughly $11 million in combined business impact, and more important than the figure is the framing I learned to defend: enablement done right is a change management function, one that drives behavior through manager reinforcement and stakeholder alignment, and measuring it by completion rates or content volume misses the point entirely. Behavior change measured against real performance numbers is the only thing that moves a business, and a leader who cannot connect the work to that does not keep a seat at the table for long.</w:t>
      </w:r>
    </w:p>
    <w:p>
      <w:pPr>
        <w:spacing w:after="0" w:line="480"/>
        <w:jc w:val="center"/>
      </w:pPr>
      <w:r>
        <w:rPr>
          <w:rFonts w:ascii="Times New Roman" w:cs="Times New Roman" w:eastAsia="Times New Roman" w:hAnsi="Times New Roman"/>
          <w:b/>
          <w:bCs/>
          <w:sz w:val="24"/>
          <w:szCs w:val="24"/>
        </w:rPr>
        <w:t xml:space="preserve">Diversity and Multiculturalism</w:t>
      </w:r>
    </w:p>
    <w:p>
      <w:pPr>
        <w:spacing w:after="0" w:line="480"/>
        <w:ind w:firstLine="720"/>
        <w:jc w:val="left"/>
      </w:pPr>
      <w:r>
        <w:rPr>
          <w:rFonts w:ascii="Times New Roman" w:cs="Times New Roman" w:eastAsia="Times New Roman" w:hAnsi="Times New Roman"/>
          <w:sz w:val="24"/>
          <w:szCs w:val="24"/>
        </w:rPr>
        <w:t xml:space="preserve">Diversity is a fact about who is in the room, the mix of race, ethnicity, gender, age, national origin, religion, disability, and the rest of the dimensions along which people differ. Multiculturalism is what you do about it. Mor Barak (2022) makes that distinction the center of her work on inclusion, arguing that getting different people into the building is the easy part and that the hard, ongoing work is building an organization where those differences actually shape how things run rather than getting quietly smoothed away. Northouse (2021) frames inclusion as a core leadership responsibility and points out that leaders have to go out of their way to pull outgroup members into the center of the work. You can assemble a genuinely diverse workforce and run a deeply monocultural organization on top of it. The two are not the same achievement, and the gap between them is where a lot of sincere effort quietly dies.</w:t>
      </w:r>
    </w:p>
    <w:p>
      <w:pPr>
        <w:spacing w:after="0" w:line="480"/>
        <w:ind w:firstLine="720"/>
        <w:jc w:val="left"/>
      </w:pPr>
      <w:r>
        <w:rPr>
          <w:rFonts w:ascii="Times New Roman" w:cs="Times New Roman" w:eastAsia="Times New Roman" w:hAnsi="Times New Roman"/>
          <w:sz w:val="24"/>
          <w:szCs w:val="24"/>
        </w:rPr>
        <w:t xml:space="preserve">This matters to my effectiveness for reasons that are practical before they are principled. At Samsung Electronics America I supported contingent field training teams across North America, South America, and Asia, and those teams were not running the same playbook even when they executed the same curriculum. A facilitator in São Paulo and a facilitator in Seoul were doing recognizably different work, calibrated to different norms around hierarchy, feedback, and what counted as a good question. Had I treated that variation as a defect to standardize away, I would have destroyed the local credibility that made the programs work in the first place. Taken seriously, difference is information about how the work actually has to land in each place (not a complication to manage down).</w:t>
      </w:r>
    </w:p>
    <w:p>
      <w:pPr>
        <w:spacing w:after="0" w:line="480"/>
        <w:ind w:firstLine="720"/>
        <w:jc w:val="left"/>
      </w:pPr>
      <w:r>
        <w:rPr>
          <w:rFonts w:ascii="Times New Roman" w:cs="Times New Roman" w:eastAsia="Times New Roman" w:hAnsi="Times New Roman"/>
          <w:sz w:val="24"/>
          <w:szCs w:val="24"/>
        </w:rPr>
        <w:t xml:space="preserve">Communicating inclusivity, then, starts with adapting to context instead of defaulting to my own. Mor Barak (2022) is clear that inclusive leaders read the cultural setting, the power distance, the direct or indirect feedback norms, and adjust, rather than assuming their own style is neutral. It is not neutral; it is just familiar to me. The next move is to treat difference out loud as a source of insight, which is the heart of what Thomas and Ely (1996) called the learning-and-effectiveness paradigm, the idea that organizations capture the real value of diversity only when they let different perspectives reshape the actual work. In practice that can be as small as asking the person whose background is least like everyone else's in the room to react first, before the consensus hardens. And underneath all of it sits safety, because inclusion people do not feel safe acting on is just decoration. If naming a different view gets you quietly sidelined, the diversity on the org chart is cosmetic.</w:t>
      </w:r>
    </w:p>
    <w:p>
      <w:pPr>
        <w:spacing w:after="0" w:line="480"/>
        <w:ind w:firstLine="720"/>
        <w:jc w:val="left"/>
      </w:pPr>
      <w:r>
        <w:rPr>
          <w:rFonts w:ascii="Times New Roman" w:cs="Times New Roman" w:eastAsia="Times New Roman" w:hAnsi="Times New Roman"/>
          <w:sz w:val="24"/>
          <w:szCs w:val="24"/>
        </w:rPr>
        <w:t xml:space="preserve">The example I keep coming back to is a Samsung initiative to take a training program built in the United States and run it globally. The first instinct was to translate the content and ship it. What the team eventually figured out, partly from regional leads pushing back and partly from pilot cohorts visibly failing, was that the program's assumptions about how learning happens, about the right relationship between a trainer and a participant, about what a good question even looked like, were not universal. They were American, and we had mistaken familiar for correct. Rebuilding the program to treat regional context as a design input (rather than a translation problem) took some organizational humility, and it produced something that actually worked in all three regions because it was built to. House et al. (2004), in the GLOBE study of 62 societies, found that some leadership behaviors travel across cultures while others do not, which is a useful corrective in both directions. What that meant for me as a leader was concrete. I stopped treating my own training instincts as the default setting and started treating them as one regional dialect among several, a small shift in posture that quietly changes who gets to define what good looks like. Culture is not ambient. Leaders build it by what they keep paying attention to, and a culture that values difference is one where somebody decided that difference was worth designing around.</w:t>
      </w:r>
    </w:p>
    <w:p>
      <w:pPr>
        <w:spacing w:after="0" w:line="480"/>
        <w:jc w:val="center"/>
      </w:pPr>
      <w:r>
        <w:rPr>
          <w:rFonts w:ascii="Times New Roman" w:cs="Times New Roman" w:eastAsia="Times New Roman" w:hAnsi="Times New Roman"/>
          <w:b/>
          <w:bCs/>
          <w:sz w:val="24"/>
          <w:szCs w:val="24"/>
        </w:rPr>
        <w:t xml:space="preserve">Reflection</w:t>
      </w:r>
    </w:p>
    <w:p>
      <w:pPr>
        <w:spacing w:after="0" w:line="480"/>
        <w:ind w:firstLine="720"/>
        <w:jc w:val="left"/>
      </w:pPr>
      <w:r>
        <w:rPr>
          <w:rFonts w:ascii="Times New Roman" w:cs="Times New Roman" w:eastAsia="Times New Roman" w:hAnsi="Times New Roman"/>
          <w:sz w:val="24"/>
          <w:szCs w:val="24"/>
        </w:rPr>
        <w:t xml:space="preserve">Writing this a few weeks before I finish the degree, I can name what changed, and the easiest way to say it is that the program gave me language for things I had been doing on instinct, which turned out to matter more than I expected. Operator instinct does not transfer. I led on gut for fifteen years, and most of the time the gut was right, but I could do the thing without being able to teach the thing, which meant my judgment died at the edge of my own calendar. Bennis (2009) frames becoming a leader as an act of continual self-construction, and that landed differently in my forties than it would have at twenty-five, because I finally had two decades of raw material to organize. The frameworks the program handed me are what make a practice repeatable by someone other than me, and that, for someone who builds teams for a living, is the whole game.</w:t>
      </w:r>
    </w:p>
    <w:p>
      <w:pPr>
        <w:spacing w:after="0" w:line="480"/>
        <w:ind w:firstLine="720"/>
        <w:jc w:val="left"/>
      </w:pPr>
      <w:r>
        <w:rPr>
          <w:rFonts w:ascii="Times New Roman" w:cs="Times New Roman" w:eastAsia="Times New Roman" w:hAnsi="Times New Roman"/>
          <w:sz w:val="24"/>
          <w:szCs w:val="24"/>
        </w:rPr>
        <w:t xml:space="preserve">Closely tied to that is something I held as a gut belief and can now defend: that enablement is fundamentally a change management function. Every program I have built that succeeded did so because we treated it as behavior change inside a system, with manager reinforcement and stakeholder alignment built in from the start. Every one that underdelivered did so because somebody upstream thought training was a content problem you could push down to reps and expect to stick. Uhl-Bien et al. (2014) describe organizational change as something that has to be led through the human side, the resistance, the identity, the felt threat of the new, and that is exactly the work. It is not an afterthought to the curriculum.</w:t>
      </w:r>
    </w:p>
    <w:p>
      <w:pPr>
        <w:spacing w:after="0" w:line="480"/>
        <w:ind w:firstLine="720"/>
        <w:jc w:val="left"/>
      </w:pPr>
      <w:r>
        <w:rPr>
          <w:rFonts w:ascii="Times New Roman" w:cs="Times New Roman" w:eastAsia="Times New Roman" w:hAnsi="Times New Roman"/>
          <w:sz w:val="24"/>
          <w:szCs w:val="24"/>
        </w:rPr>
        <w:t xml:space="preserve">The program also changed how I behave, not just how I think, particularly around inclusion. I used to believe inclusion was mostly a matter of intent, of being a decent and open person. Mor Barak (2022) and the diversity work in this program convinced me it is a felt experience built through structure. People do not feel included because I am well-meaning. They feel included because the design of the room (who speaks first, whose dissent is rewarded, what gets measured) makes space for them. Edmondson (1999) calls the precondition psychological safety, and I now think of it as something you engineer into a team rather than hope for, which connects directly to how I run every room. The team of eighteen I built at Sunrun functioned because people felt safe telling me hard things, and that was structure, not luck.</w:t>
      </w:r>
    </w:p>
    <w:p>
      <w:pPr>
        <w:spacing w:after="0" w:line="480"/>
        <w:ind w:firstLine="720"/>
        <w:jc w:val="left"/>
      </w:pPr>
      <w:r>
        <w:rPr>
          <w:rFonts w:ascii="Times New Roman" w:cs="Times New Roman" w:eastAsia="Times New Roman" w:hAnsi="Times New Roman"/>
          <w:sz w:val="24"/>
          <w:szCs w:val="24"/>
        </w:rPr>
        <w:t xml:space="preserve">The insight closest to where my field is heading is the simplest to state and the hardest to practice. Evidence beats hype. I work in a moment where every vendor has an AI story and every executive has a mandate, and the discipline that has served me best is the same analytical inquiry I have practiced for years, measuring against real performance outcomes and interrogating my own assumptions before I commit. The tools changed. The question did not. Does it actually move the number, and how would I know if it did.</w:t>
      </w:r>
    </w:p>
    <w:p>
      <w:pPr>
        <w:spacing w:after="0" w:line="480"/>
        <w:ind w:firstLine="720"/>
        <w:jc w:val="left"/>
      </w:pPr>
      <w:r>
        <w:rPr>
          <w:rFonts w:ascii="Times New Roman" w:cs="Times New Roman" w:eastAsia="Times New Roman" w:hAnsi="Times New Roman"/>
          <w:sz w:val="24"/>
          <w:szCs w:val="24"/>
        </w:rPr>
        <w:t xml:space="preserve">Underneath all of this is one shift: from doing the work to designing the conditions for other people to do it well. That is the throughline from where I started, a kid who moved too much and earned a GED because the traditional path fell apart, to a forty-something finishing a bachelor's degree this August while leading a function at Infoblox. The younger version of me would have been faster to plant flags and slower to listen. The work taught me the opposite, and so did the credential, slowly, across four years of being a student again. I am better at building the room now than I am at being the center of it, and I am fairly sure that is the whole job.</w:t>
      </w:r>
    </w:p>
    <w:p>
      <w:pPr>
        <w:spacing w:after="0" w:line="480"/>
        <w:jc w:val="center"/>
      </w:pPr>
      <w:r>
        <w:rPr>
          <w:rFonts w:ascii="Times New Roman" w:cs="Times New Roman" w:eastAsia="Times New Roman" w:hAnsi="Times New Roman"/>
          <w:b/>
          <w:bCs/>
          <w:sz w:val="24"/>
          <w:szCs w:val="24"/>
        </w:rPr>
        <w:t xml:space="preserve">Action Plan</w:t>
      </w:r>
    </w:p>
    <w:p>
      <w:pPr>
        <w:spacing w:after="0" w:line="480"/>
        <w:ind w:firstLine="720"/>
        <w:jc w:val="left"/>
      </w:pPr>
      <w:r>
        <w:rPr>
          <w:rFonts w:ascii="Times New Roman" w:cs="Times New Roman" w:eastAsia="Times New Roman" w:hAnsi="Times New Roman"/>
          <w:sz w:val="24"/>
          <w:szCs w:val="24"/>
        </w:rPr>
        <w:t xml:space="preserve">Insights are worth nothing if they stay insights, so here is what I am actually going to do with these four in the role I just started.</w:t>
      </w:r>
    </w:p>
    <w:p>
      <w:pPr>
        <w:spacing w:after="0" w:line="480"/>
        <w:ind w:firstLine="720"/>
        <w:jc w:val="left"/>
      </w:pPr>
      <w:r>
        <w:rPr>
          <w:rFonts w:ascii="Times New Roman" w:cs="Times New Roman" w:eastAsia="Times New Roman" w:hAnsi="Times New Roman"/>
          <w:sz w:val="24"/>
          <w:szCs w:val="24"/>
        </w:rPr>
        <w:t xml:space="preserve">My first move at Infoblox is to map the enablement programs I inherited to a named model (something like 70:20:10 or Kirkpatrick), so my team and I are working from shared language instead of my private judgment. Inside the first six months I want every instructional designer I work with getting feedback in terms of a framework they can apply themselves, not just my reactions to their drafts. The measure is plain: can a designer make a sound call without me in the room, and can they explain why. I own that one directly.</w:t>
      </w:r>
    </w:p>
    <w:p>
      <w:pPr>
        <w:spacing w:after="0" w:line="480"/>
        <w:ind w:firstLine="720"/>
        <w:jc w:val="left"/>
      </w:pPr>
      <w:r>
        <w:rPr>
          <w:rFonts w:ascii="Times New Roman" w:cs="Times New Roman" w:eastAsia="Times New Roman" w:hAnsi="Times New Roman"/>
          <w:sz w:val="24"/>
          <w:szCs w:val="24"/>
        </w:rPr>
        <w:t xml:space="preserve">The change management piece is where the real structural work lives. I am building manager reinforcement and stakeholder alignment into sales enablement design from day one rather than bolting them on after launch, which in a sales organization means partnering with frontline sales managers before I build, not after reps complain. The measure I care about is ramp, specifically time-to-productivity for new sellers and how fast they reach consistent quota attainment, tracked cohort over cohort the way I learned to. Completion of the onboarding path is table stakes and tells me almost nothing on its own.</w:t>
      </w:r>
    </w:p>
    <w:p>
      <w:pPr>
        <w:spacing w:after="0" w:line="480"/>
        <w:ind w:firstLine="720"/>
        <w:jc w:val="left"/>
      </w:pPr>
      <w:r>
        <w:rPr>
          <w:rFonts w:ascii="Times New Roman" w:cs="Times New Roman" w:eastAsia="Times New Roman" w:hAnsi="Times New Roman"/>
          <w:sz w:val="24"/>
          <w:szCs w:val="24"/>
        </w:rPr>
        <w:t xml:space="preserve">Inclusion is the one that requires the most deliberate structural attention. I am setting explicit psychological safety norms with my team inside the first ninety days, and I am structuring design and program reviews so the most different perspective in the room gets asked first, before the senior voices set the frame. Accountability here is harder to put a number on, so I am using a felt-experience check, a quarterly read on whether my quieter and newer team members are actually surfacing problems. If they have gone silent, the structure is failing regardless of what I intended.</w:t>
      </w:r>
    </w:p>
    <w:p>
      <w:pPr>
        <w:spacing w:after="0" w:line="480"/>
        <w:ind w:firstLine="720"/>
        <w:jc w:val="left"/>
      </w:pPr>
      <w:r>
        <w:rPr>
          <w:rFonts w:ascii="Times New Roman" w:cs="Times New Roman" w:eastAsia="Times New Roman" w:hAnsi="Times New Roman"/>
          <w:sz w:val="24"/>
          <w:szCs w:val="24"/>
        </w:rPr>
        <w:t xml:space="preserve">And then there is the evidence discipline, which in practice means the enablement function I run will be measured against business outcomes and not activity, and that includes how we adopt AI. There is real pressure right now to bolt generative tools onto everything in enablement, and my plan is to pressure-test each one against a performance question before we scale it, piloting against a real metric and killing what does not move it. The discipline is not anti-technology. It is the refusal to confuse motion with progress, which is the same discipline that produced the wins I am proudest of.</w:t>
      </w:r>
    </w:p>
    <w:p>
      <w:pPr>
        <w:spacing w:after="0" w:line="480"/>
        <w:ind w:firstLine="720"/>
        <w:jc w:val="left"/>
      </w:pPr>
      <w:r>
        <w:rPr>
          <w:rFonts w:ascii="Times New Roman" w:cs="Times New Roman" w:eastAsia="Times New Roman" w:hAnsi="Times New Roman"/>
          <w:sz w:val="24"/>
          <w:szCs w:val="24"/>
        </w:rPr>
        <w:t xml:space="preserve">None of this is a finished plan, and it should not be, because I am a few weeks into the role and the smartest thing I can do is keep listening before I keep building. The direction is set, though, and it is the direction the last four years pointed me toward.</w:t>
      </w:r>
    </w:p>
    <w:p>
      <w:pPr>
        <w:spacing w:after="0" w:line="480"/>
        <w:jc w:val="center"/>
      </w:pPr>
      <w:r>
        <w:rPr>
          <w:rFonts w:ascii="Times New Roman" w:cs="Times New Roman" w:eastAsia="Times New Roman" w:hAnsi="Times New Roman"/>
          <w:b/>
          <w:bCs/>
          <w:sz w:val="24"/>
          <w:szCs w:val="24"/>
        </w:rPr>
        <w:t xml:space="preserve">Conclusion</w:t>
      </w:r>
    </w:p>
    <w:p>
      <w:pPr>
        <w:spacing w:after="0" w:line="480"/>
        <w:ind w:firstLine="720"/>
        <w:jc w:val="left"/>
      </w:pPr>
      <w:r>
        <w:rPr>
          <w:rFonts w:ascii="Times New Roman" w:cs="Times New Roman" w:eastAsia="Times New Roman" w:hAnsi="Times New Roman"/>
          <w:sz w:val="24"/>
          <w:szCs w:val="24"/>
        </w:rPr>
        <w:t xml:space="preserve">These four pieces are not separate competencies I switch between. Analytical inquiry keeps me honest about reality, ethics keeps me honest about the people my decisions land on, the leadership behaviors are how I turn both into something a team can feel, and the diversity work is what keeps me from mistaking my own defaults for the truth. A leader who has some of these without the others is only partly equipped, and I have been each of those partial leaders at different points. The degree did not hand me the finished version. It handed me the language to keep building one, which, given where I started, is exactly what I needed it to do.</w:t>
      </w:r>
    </w:p>
    <w:p>
      <w:pPr>
        <w:pageBreakBefore/>
        <w:spacing w:after="0" w:line="480"/>
        <w:jc w:val="center"/>
      </w:pPr>
      <w:r>
        <w:rPr>
          <w:rFonts w:ascii="Times New Roman" w:cs="Times New Roman" w:eastAsia="Times New Roman" w:hAnsi="Times New Roman"/>
          <w:b/>
          <w:bCs/>
          <w:sz w:val="24"/>
          <w:szCs w:val="24"/>
        </w:rPr>
        <w:t xml:space="preserve">References</w:t>
      </w:r>
    </w:p>
    <w:p>
      <w:pPr>
        <w:spacing w:after="0" w:line="480"/>
        <w:ind w:left="720" w:hanging="720"/>
      </w:pPr>
      <w:r>
        <w:rPr>
          <w:rFonts w:ascii="Times New Roman" w:cs="Times New Roman" w:eastAsia="Times New Roman" w:hAnsi="Times New Roman"/>
          <w:sz w:val="24"/>
          <w:szCs w:val="24"/>
        </w:rPr>
        <w:t xml:space="preserve">Bass, B. M., &amp; Bass, R. (2008). </w:t>
      </w:r>
      <w:r>
        <w:rPr>
          <w:rFonts w:ascii="Times New Roman" w:cs="Times New Roman" w:eastAsia="Times New Roman" w:hAnsi="Times New Roman"/>
          <w:i/>
          <w:iCs/>
          <w:sz w:val="24"/>
          <w:szCs w:val="24"/>
        </w:rPr>
        <w:t xml:space="preserve">The Bass handbook of leadership: Theory, research, and managerial applications</w:t>
      </w:r>
      <w:r>
        <w:rPr>
          <w:rFonts w:ascii="Times New Roman" w:cs="Times New Roman" w:eastAsia="Times New Roman" w:hAnsi="Times New Roman"/>
          <w:sz w:val="24"/>
          <w:szCs w:val="24"/>
        </w:rPr>
        <w:t xml:space="preserve"> (4th ed.). Free Press.</w:t>
      </w:r>
    </w:p>
    <w:p>
      <w:pPr>
        <w:spacing w:after="0" w:line="480"/>
        <w:ind w:left="720" w:hanging="720"/>
      </w:pPr>
      <w:r>
        <w:rPr>
          <w:rFonts w:ascii="Times New Roman" w:cs="Times New Roman" w:eastAsia="Times New Roman" w:hAnsi="Times New Roman"/>
          <w:sz w:val="24"/>
          <w:szCs w:val="24"/>
        </w:rPr>
        <w:t xml:space="preserve">Bennis, W. (2009). </w:t>
      </w:r>
      <w:r>
        <w:rPr>
          <w:rFonts w:ascii="Times New Roman" w:cs="Times New Roman" w:eastAsia="Times New Roman" w:hAnsi="Times New Roman"/>
          <w:i/>
          <w:iCs/>
          <w:sz w:val="24"/>
          <w:szCs w:val="24"/>
        </w:rPr>
        <w:t xml:space="preserve">On becoming a leader</w:t>
      </w:r>
      <w:r>
        <w:rPr>
          <w:rFonts w:ascii="Times New Roman" w:cs="Times New Roman" w:eastAsia="Times New Roman" w:hAnsi="Times New Roman"/>
          <w:sz w:val="24"/>
          <w:szCs w:val="24"/>
        </w:rPr>
        <w:t xml:space="preserve"> (20th anniversary ed.). Basic Books.</w:t>
      </w:r>
    </w:p>
    <w:p>
      <w:pPr>
        <w:spacing w:after="0" w:line="480"/>
        <w:ind w:left="720" w:hanging="720"/>
      </w:pPr>
      <w:r>
        <w:rPr>
          <w:rFonts w:ascii="Times New Roman" w:cs="Times New Roman" w:eastAsia="Times New Roman" w:hAnsi="Times New Roman"/>
          <w:sz w:val="24"/>
          <w:szCs w:val="24"/>
        </w:rPr>
        <w:t xml:space="preserve">Brown, M. E., Treviño, L. K., &amp; Harrison, D. A. (2005). Ethical leadership: A social learning perspective for construct development and testing. </w:t>
      </w:r>
      <w:r>
        <w:rPr>
          <w:rFonts w:ascii="Times New Roman" w:cs="Times New Roman" w:eastAsia="Times New Roman" w:hAnsi="Times New Roman"/>
          <w:i/>
          <w:iCs/>
          <w:sz w:val="24"/>
          <w:szCs w:val="24"/>
        </w:rPr>
        <w:t xml:space="preserve">Organizational Behavior and Human Decision Processes, 97</w:t>
      </w:r>
      <w:r>
        <w:rPr>
          <w:rFonts w:ascii="Times New Roman" w:cs="Times New Roman" w:eastAsia="Times New Roman" w:hAnsi="Times New Roman"/>
          <w:sz w:val="24"/>
          <w:szCs w:val="24"/>
        </w:rPr>
        <w:t xml:space="preserve">(2), 117–134. https://doi.org/10.1016/j.obhdp.2005.03.002</w:t>
      </w:r>
    </w:p>
    <w:p>
      <w:pPr>
        <w:spacing w:after="0" w:line="480"/>
        <w:ind w:left="720" w:hanging="720"/>
      </w:pPr>
      <w:r>
        <w:rPr>
          <w:rFonts w:ascii="Times New Roman" w:cs="Times New Roman" w:eastAsia="Times New Roman" w:hAnsi="Times New Roman"/>
          <w:sz w:val="24"/>
          <w:szCs w:val="24"/>
        </w:rPr>
        <w:t xml:space="preserve">Collins, D., &amp; Kanashiro, P. (2022). </w:t>
      </w:r>
      <w:r>
        <w:rPr>
          <w:rFonts w:ascii="Times New Roman" w:cs="Times New Roman" w:eastAsia="Times New Roman" w:hAnsi="Times New Roman"/>
          <w:i/>
          <w:iCs/>
          <w:sz w:val="24"/>
          <w:szCs w:val="24"/>
        </w:rPr>
        <w:t xml:space="preserve">Business ethics: Best practices for designing and managing ethical organizations</w:t>
      </w:r>
      <w:r>
        <w:rPr>
          <w:rFonts w:ascii="Times New Roman" w:cs="Times New Roman" w:eastAsia="Times New Roman" w:hAnsi="Times New Roman"/>
          <w:sz w:val="24"/>
          <w:szCs w:val="24"/>
        </w:rPr>
        <w:t xml:space="preserve"> (3rd ed.). SAGE Publications.</w:t>
      </w:r>
    </w:p>
    <w:p>
      <w:pPr>
        <w:spacing w:after="0" w:line="480"/>
        <w:ind w:left="720" w:hanging="720"/>
      </w:pPr>
      <w:r>
        <w:rPr>
          <w:rFonts w:ascii="Times New Roman" w:cs="Times New Roman" w:eastAsia="Times New Roman" w:hAnsi="Times New Roman"/>
          <w:sz w:val="24"/>
          <w:szCs w:val="24"/>
        </w:rPr>
        <w:t xml:space="preserve">Edmondson, A. (1999). Psychological safety and learning behavior in work teams. </w:t>
      </w:r>
      <w:r>
        <w:rPr>
          <w:rFonts w:ascii="Times New Roman" w:cs="Times New Roman" w:eastAsia="Times New Roman" w:hAnsi="Times New Roman"/>
          <w:i/>
          <w:iCs/>
          <w:sz w:val="24"/>
          <w:szCs w:val="24"/>
        </w:rPr>
        <w:t xml:space="preserve">Administrative Science Quarterly, 44</w:t>
      </w:r>
      <w:r>
        <w:rPr>
          <w:rFonts w:ascii="Times New Roman" w:cs="Times New Roman" w:eastAsia="Times New Roman" w:hAnsi="Times New Roman"/>
          <w:sz w:val="24"/>
          <w:szCs w:val="24"/>
        </w:rPr>
        <w:t xml:space="preserve">(2), 350–383. https://doi.org/10.2307/2666999</w:t>
      </w:r>
    </w:p>
    <w:p>
      <w:pPr>
        <w:spacing w:after="0" w:line="480"/>
        <w:ind w:left="720" w:hanging="720"/>
      </w:pPr>
      <w:r>
        <w:rPr>
          <w:rFonts w:ascii="Times New Roman" w:cs="Times New Roman" w:eastAsia="Times New Roman" w:hAnsi="Times New Roman"/>
          <w:sz w:val="24"/>
          <w:szCs w:val="24"/>
        </w:rPr>
        <w:t xml:space="preserve">Greenleaf, R. K. (2002). </w:t>
      </w:r>
      <w:r>
        <w:rPr>
          <w:rFonts w:ascii="Times New Roman" w:cs="Times New Roman" w:eastAsia="Times New Roman" w:hAnsi="Times New Roman"/>
          <w:i/>
          <w:iCs/>
          <w:sz w:val="24"/>
          <w:szCs w:val="24"/>
        </w:rPr>
        <w:t xml:space="preserve">Servant leadership: A journey into the nature of legitimate power and greatness</w:t>
      </w:r>
      <w:r>
        <w:rPr>
          <w:rFonts w:ascii="Times New Roman" w:cs="Times New Roman" w:eastAsia="Times New Roman" w:hAnsi="Times New Roman"/>
          <w:sz w:val="24"/>
          <w:szCs w:val="24"/>
        </w:rPr>
        <w:t xml:space="preserve"> (25th anniversary ed.). Paulist Press. (Original work published 1977)</w:t>
      </w:r>
    </w:p>
    <w:p>
      <w:pPr>
        <w:spacing w:after="0" w:line="480"/>
        <w:ind w:left="720" w:hanging="720"/>
      </w:pPr>
      <w:r>
        <w:rPr>
          <w:rFonts w:ascii="Times New Roman" w:cs="Times New Roman" w:eastAsia="Times New Roman" w:hAnsi="Times New Roman"/>
          <w:sz w:val="24"/>
          <w:szCs w:val="24"/>
        </w:rPr>
        <w:t xml:space="preserve">House, R. J., Hanges, P. J., Javidan, M., Dorfman, P. W., &amp; Gupta, V. (Eds.). (2004). </w:t>
      </w:r>
      <w:r>
        <w:rPr>
          <w:rFonts w:ascii="Times New Roman" w:cs="Times New Roman" w:eastAsia="Times New Roman" w:hAnsi="Times New Roman"/>
          <w:i/>
          <w:iCs/>
          <w:sz w:val="24"/>
          <w:szCs w:val="24"/>
        </w:rPr>
        <w:t xml:space="preserve">Culture, leadership, and organizations: The GLOBE study of 62 societies</w:t>
      </w:r>
      <w:r>
        <w:rPr>
          <w:rFonts w:ascii="Times New Roman" w:cs="Times New Roman" w:eastAsia="Times New Roman" w:hAnsi="Times New Roman"/>
          <w:sz w:val="24"/>
          <w:szCs w:val="24"/>
        </w:rPr>
        <w:t xml:space="preserve">. SAGE Publications.</w:t>
      </w:r>
    </w:p>
    <w:p>
      <w:pPr>
        <w:spacing w:after="0" w:line="480"/>
        <w:ind w:left="720" w:hanging="720"/>
      </w:pPr>
      <w:r>
        <w:rPr>
          <w:rFonts w:ascii="Times New Roman" w:cs="Times New Roman" w:eastAsia="Times New Roman" w:hAnsi="Times New Roman"/>
          <w:sz w:val="24"/>
          <w:szCs w:val="24"/>
        </w:rPr>
        <w:t xml:space="preserve">Kouzes, J. M., &amp; Posner, B. Z. (2023). </w:t>
      </w:r>
      <w:r>
        <w:rPr>
          <w:rFonts w:ascii="Times New Roman" w:cs="Times New Roman" w:eastAsia="Times New Roman" w:hAnsi="Times New Roman"/>
          <w:i/>
          <w:iCs/>
          <w:sz w:val="24"/>
          <w:szCs w:val="24"/>
        </w:rPr>
        <w:t xml:space="preserve">The leadership challenge: How to make extraordinary things happen in organizations</w:t>
      </w:r>
      <w:r>
        <w:rPr>
          <w:rFonts w:ascii="Times New Roman" w:cs="Times New Roman" w:eastAsia="Times New Roman" w:hAnsi="Times New Roman"/>
          <w:sz w:val="24"/>
          <w:szCs w:val="24"/>
        </w:rPr>
        <w:t xml:space="preserve"> (7th ed.). Wiley.</w:t>
      </w:r>
    </w:p>
    <w:p>
      <w:pPr>
        <w:spacing w:after="0" w:line="480"/>
        <w:ind w:left="720" w:hanging="720"/>
      </w:pPr>
      <w:r>
        <w:rPr>
          <w:rFonts w:ascii="Times New Roman" w:cs="Times New Roman" w:eastAsia="Times New Roman" w:hAnsi="Times New Roman"/>
          <w:sz w:val="24"/>
          <w:szCs w:val="24"/>
        </w:rPr>
        <w:t xml:space="preserve">Mor Barak, M. E. (2022). </w:t>
      </w:r>
      <w:r>
        <w:rPr>
          <w:rFonts w:ascii="Times New Roman" w:cs="Times New Roman" w:eastAsia="Times New Roman" w:hAnsi="Times New Roman"/>
          <w:i/>
          <w:iCs/>
          <w:sz w:val="24"/>
          <w:szCs w:val="24"/>
        </w:rPr>
        <w:t xml:space="preserve">Managing diversity: Toward a globally inclusive workplace</w:t>
      </w:r>
      <w:r>
        <w:rPr>
          <w:rFonts w:ascii="Times New Roman" w:cs="Times New Roman" w:eastAsia="Times New Roman" w:hAnsi="Times New Roman"/>
          <w:sz w:val="24"/>
          <w:szCs w:val="24"/>
        </w:rPr>
        <w:t xml:space="preserve"> (5th ed.). SAGE Publications.</w:t>
      </w:r>
    </w:p>
    <w:p>
      <w:pPr>
        <w:spacing w:after="0" w:line="480"/>
        <w:ind w:left="720" w:hanging="720"/>
      </w:pPr>
      <w:r>
        <w:rPr>
          <w:rFonts w:ascii="Times New Roman" w:cs="Times New Roman" w:eastAsia="Times New Roman" w:hAnsi="Times New Roman"/>
          <w:sz w:val="24"/>
          <w:szCs w:val="24"/>
        </w:rPr>
        <w:t xml:space="preserve">Northouse, P. G. (2021). </w:t>
      </w:r>
      <w:r>
        <w:rPr>
          <w:rFonts w:ascii="Times New Roman" w:cs="Times New Roman" w:eastAsia="Times New Roman" w:hAnsi="Times New Roman"/>
          <w:i/>
          <w:iCs/>
          <w:sz w:val="24"/>
          <w:szCs w:val="24"/>
        </w:rPr>
        <w:t xml:space="preserve">Introduction to leadership: Concepts and practice</w:t>
      </w:r>
      <w:r>
        <w:rPr>
          <w:rFonts w:ascii="Times New Roman" w:cs="Times New Roman" w:eastAsia="Times New Roman" w:hAnsi="Times New Roman"/>
          <w:sz w:val="24"/>
          <w:szCs w:val="24"/>
        </w:rPr>
        <w:t xml:space="preserve"> (5th ed.). SAGE Publications.</w:t>
      </w:r>
    </w:p>
    <w:p>
      <w:pPr>
        <w:spacing w:after="0" w:line="480"/>
        <w:ind w:left="720" w:hanging="720"/>
      </w:pPr>
      <w:r>
        <w:rPr>
          <w:rFonts w:ascii="Times New Roman" w:cs="Times New Roman" w:eastAsia="Times New Roman" w:hAnsi="Times New Roman"/>
          <w:sz w:val="24"/>
          <w:szCs w:val="24"/>
        </w:rPr>
        <w:t xml:space="preserve">Spears, L. C. (2010). Character and servant leadership: Ten characteristics of effective, caring leaders. </w:t>
      </w:r>
      <w:r>
        <w:rPr>
          <w:rFonts w:ascii="Times New Roman" w:cs="Times New Roman" w:eastAsia="Times New Roman" w:hAnsi="Times New Roman"/>
          <w:i/>
          <w:iCs/>
          <w:sz w:val="24"/>
          <w:szCs w:val="24"/>
        </w:rPr>
        <w:t xml:space="preserve">The Journal of Virtues &amp; Leadership, 1</w:t>
      </w:r>
      <w:r>
        <w:rPr>
          <w:rFonts w:ascii="Times New Roman" w:cs="Times New Roman" w:eastAsia="Times New Roman" w:hAnsi="Times New Roman"/>
          <w:sz w:val="24"/>
          <w:szCs w:val="24"/>
        </w:rPr>
        <w:t xml:space="preserve">(1), 25–30.</w:t>
      </w:r>
    </w:p>
    <w:p>
      <w:pPr>
        <w:spacing w:after="0" w:line="480"/>
        <w:ind w:left="720" w:hanging="720"/>
      </w:pPr>
      <w:r>
        <w:rPr>
          <w:rFonts w:ascii="Times New Roman" w:cs="Times New Roman" w:eastAsia="Times New Roman" w:hAnsi="Times New Roman"/>
          <w:sz w:val="24"/>
          <w:szCs w:val="24"/>
        </w:rPr>
        <w:t xml:space="preserve">Thomas, D. A., &amp; Ely, R. J. (1996). Making differences matter: A new paradigm for managing diversity. </w:t>
      </w:r>
      <w:r>
        <w:rPr>
          <w:rFonts w:ascii="Times New Roman" w:cs="Times New Roman" w:eastAsia="Times New Roman" w:hAnsi="Times New Roman"/>
          <w:i/>
          <w:iCs/>
          <w:sz w:val="24"/>
          <w:szCs w:val="24"/>
        </w:rPr>
        <w:t xml:space="preserve">Harvard Business Review, 74</w:t>
      </w:r>
      <w:r>
        <w:rPr>
          <w:rFonts w:ascii="Times New Roman" w:cs="Times New Roman" w:eastAsia="Times New Roman" w:hAnsi="Times New Roman"/>
          <w:sz w:val="24"/>
          <w:szCs w:val="24"/>
        </w:rPr>
        <w:t xml:space="preserve">(5), 79–90.</w:t>
      </w:r>
    </w:p>
    <w:p>
      <w:pPr>
        <w:spacing w:after="0" w:line="480"/>
        <w:ind w:left="720" w:hanging="720"/>
      </w:pPr>
      <w:r>
        <w:rPr>
          <w:rFonts w:ascii="Times New Roman" w:cs="Times New Roman" w:eastAsia="Times New Roman" w:hAnsi="Times New Roman"/>
          <w:sz w:val="24"/>
          <w:szCs w:val="24"/>
        </w:rPr>
        <w:t xml:space="preserve">Uhl-Bien, M., Schermerhorn, J. R., &amp; Osborn, R. N. (2014). </w:t>
      </w:r>
      <w:r>
        <w:rPr>
          <w:rFonts w:ascii="Times New Roman" w:cs="Times New Roman" w:eastAsia="Times New Roman" w:hAnsi="Times New Roman"/>
          <w:i/>
          <w:iCs/>
          <w:sz w:val="24"/>
          <w:szCs w:val="24"/>
        </w:rPr>
        <w:t xml:space="preserve">Organizational behavior</w:t>
      </w:r>
      <w:r>
        <w:rPr>
          <w:rFonts w:ascii="Times New Roman" w:cs="Times New Roman" w:eastAsia="Times New Roman" w:hAnsi="Times New Roman"/>
          <w:sz w:val="24"/>
          <w:szCs w:val="24"/>
        </w:rPr>
        <w:t xml:space="preserve"> (13th ed.). Wiley.</w:t>
      </w:r>
    </w:p>
    <w:sectPr>
      <w:head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4"/>
        <w:szCs w:val="24"/>
      </w:rPr>
      <w:fldChar w:fldCharType="begin"/>
      <w:instrText xml:space="preserve">PAGE</w:instrText>
      <w:fldChar w:fldCharType="separate"/>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4"/>
        <w:szCs w:val="24"/>
      </w:rP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2026-06-20T19:52:52.723Z</dcterms:created>
  <dcterms:modified xsi:type="dcterms:W3CDTF">2026-06-20T19:52:52.723Z</dcterms:modified>
</cp:coreProperties>
</file>

<file path=docProps/custom.xml><?xml version="1.0" encoding="utf-8"?>
<Properties xmlns="http://schemas.openxmlformats.org/officeDocument/2006/custom-properties" xmlns:vt="http://schemas.openxmlformats.org/officeDocument/2006/docPropsVTypes"/>
</file>